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hyperlink r:id="rId2">
        <w:r>
          <w:rPr>
            <w:rStyle w:val="InternetLink"/>
            <w:rFonts w:ascii="Times New Roman" w:hAnsi="Times New Roman"/>
            <w:lang w:val="sr-RS"/>
          </w:rPr>
          <w:t>https://kutak.suk.gov.rs/kutak-znanja/rad-i-organizacija-drzavnih-organa-u-ap-i-jls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hyperlink r:id="rId3">
        <w:r>
          <w:rPr>
            <w:rStyle w:val="InternetLink"/>
            <w:rFonts w:ascii="Times New Roman" w:hAnsi="Times New Roman"/>
            <w:lang w:val="sr-RS"/>
          </w:rPr>
          <w:t>https://kutak.suk.gov.rs/kutak-znanja/digitalna-pismenost-1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hyperlink r:id="rId4">
        <w:r>
          <w:rPr>
            <w:rStyle w:val="InternetLink"/>
            <w:rFonts w:ascii="Times New Roman" w:hAnsi="Times New Roman"/>
            <w:lang w:val="sr-RS"/>
          </w:rPr>
          <w:t>https://kutak.suk.gov.rs/kutak-znanja/poslovna-komunikacija-za-ap-i-jls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 xml:space="preserve">стручно –оперативни послови – </w:t>
      </w:r>
      <w:r>
        <w:rPr>
          <w:rFonts w:cs="Times New Roman Cyr" w:ascii="Times New Roman Cyr" w:hAnsi="Times New Roman Cyr"/>
          <w:color w:val="000000"/>
          <w:spacing w:val="-14"/>
          <w:sz w:val="22"/>
          <w:lang w:val="sr-RS"/>
        </w:rPr>
        <w:t>методе и</w:t>
      </w:r>
      <w:r>
        <w:rPr>
          <w:b/>
          <w:color w:val="000000"/>
          <w:spacing w:val="-14"/>
          <w:sz w:val="22"/>
          <w:lang w:val="sr-RS"/>
        </w:rPr>
        <w:t xml:space="preserve">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 xml:space="preserve">технике опсервације, прикупљања и евидентирања података, методе и технике израде извештаја на основу одређених евиденција </w:t>
      </w:r>
      <w:r>
        <w:rPr>
          <w:rFonts w:cs="Calibri" w:ascii="Times New Roman" w:hAnsi="Times New Roman" w:cstheme="minorHAnsi"/>
          <w:color w:val="000000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color w:val="000000"/>
          <w:sz w:val="22"/>
          <w:lang w:val="sr-Latn-RS"/>
        </w:rPr>
        <w:t xml:space="preserve"> </w:t>
      </w:r>
      <w:r>
        <w:rPr>
          <w:lang w:val="sr-RS"/>
        </w:rPr>
        <w:t xml:space="preserve">         </w:t>
      </w:r>
    </w:p>
    <w:p>
      <w:pPr>
        <w:pStyle w:val="Normal"/>
        <w:widowControl w:val="false"/>
        <w:suppressAutoHyphens w:val="true"/>
        <w:jc w:val="both"/>
        <w:rPr/>
      </w:pPr>
      <w:hyperlink r:id="rId5">
        <w:r>
          <w:rPr>
            <w:rStyle w:val="InternetLink"/>
            <w:rFonts w:ascii="Times New Roman" w:hAnsi="Times New Roman"/>
            <w:lang w:val="sr-RS"/>
          </w:rPr>
          <w:t>https://kutak.suk.gov.rs/kutak-znanja/simulacije-zadataka-apjls/strucno-operativni-poslovi-2/pripremi-se</w:t>
        </w:r>
      </w:hyperlink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>
          <w:lang w:val="sr-RS"/>
        </w:rPr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rFonts w:cs="Calibri" w:ascii="Times New Roman" w:hAnsi="Times New Roman" w:cstheme="minorHAnsi"/>
          <w:color w:val="000000"/>
          <w:spacing w:val="-14"/>
          <w:sz w:val="22"/>
          <w:lang w:val="ru-RU"/>
        </w:rPr>
        <w:t xml:space="preserve">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ru-RU"/>
        </w:rPr>
        <w:t>Управно правни послови</w:t>
      </w:r>
      <w:r>
        <w:rPr>
          <w:rFonts w:cs="Times New Roman Cyr" w:ascii="Times New Roman" w:hAnsi="Times New Roman"/>
          <w:b/>
          <w:color w:val="000000"/>
          <w:spacing w:val="-14"/>
          <w:sz w:val="22"/>
          <w:lang w:val="sr-RS"/>
        </w:rPr>
        <w:t xml:space="preserve"> – </w:t>
      </w:r>
      <w:r>
        <w:rPr>
          <w:rFonts w:cs="Times New Roman Cyr" w:ascii="Times New Roman" w:hAnsi="Times New Roman"/>
          <w:b w:val="false"/>
          <w:bCs w:val="false"/>
          <w:color w:val="000000"/>
          <w:spacing w:val="-14"/>
          <w:sz w:val="22"/>
          <w:lang w:val="sr-RS"/>
        </w:rPr>
        <w:t xml:space="preserve">Општи управни поступак </w:t>
      </w:r>
      <w:r>
        <w:rPr>
          <w:rFonts w:cs="Calibri" w:ascii="Times New Roman" w:hAnsi="Times New Roman" w:cstheme="minorHAnsi"/>
          <w:b w:val="false"/>
          <w:bCs w:val="false"/>
          <w:color w:val="000000"/>
          <w:spacing w:val="-14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sr-Latn-RS"/>
        </w:rPr>
        <w:t xml:space="preserve"> 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sr-RS"/>
        </w:rPr>
        <w:t xml:space="preserve">  </w:t>
      </w:r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/>
      </w:pPr>
      <w:hyperlink r:id="rId6">
        <w:r>
          <w:rPr>
            <w:rStyle w:val="InternetLink"/>
            <w:color w:val="729FCF"/>
          </w:rPr>
          <w:t>https://kutak.suk.gov.rs/kutak-znanja/simulacije-zadataka-apjls/upravno-pravni-poslovi-2/pripremi-se</w:t>
        </w:r>
      </w:hyperlink>
    </w:p>
    <w:p>
      <w:pPr>
        <w:pStyle w:val="Normal"/>
        <w:spacing w:lineRule="auto" w:line="240" w:before="0" w:after="240"/>
        <w:ind w:hanging="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   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 xml:space="preserve">Материјал за проверу </w:t>
      </w:r>
      <w:r>
        <w:rPr>
          <w:rFonts w:cs="Calibri" w:ascii="Times New Roman" w:hAnsi="Times New Roman" w:cstheme="minorHAnsi"/>
          <w:bCs/>
          <w:lang w:val="sr-RS"/>
        </w:rPr>
        <w:t xml:space="preserve">Посебне функционалне компетенције за радно место (планска документа, прописи и акта из надлежности и организације органа)- Статут града Пирота  </w:t>
      </w:r>
      <w:r>
        <w:rPr>
          <w:rFonts w:cs="Calibri" w:ascii="Times New Roman" w:hAnsi="Times New Roman" w:cstheme="minorHAnsi"/>
          <w:lang w:val="sr-RS"/>
        </w:rPr>
        <w:t>може</w:t>
      </w:r>
      <w:r>
        <w:rPr>
          <w:rFonts w:cs="Calibri" w:ascii="Times New Roman" w:hAnsi="Times New Roman" w:cstheme="minorHAnsi"/>
        </w:rPr>
        <w:t xml:space="preserve">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  <w:color w:val="5983B0"/>
        </w:rPr>
        <w:t xml:space="preserve"> </w:t>
      </w:r>
      <w:hyperlink r:id="rId7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</w:t>
      </w:r>
    </w:p>
    <w:p>
      <w:pPr>
        <w:pStyle w:val="Normal"/>
        <w:spacing w:lineRule="auto" w:line="240" w:before="0" w:after="240"/>
        <w:ind w:hanging="0"/>
        <w:jc w:val="both"/>
        <w:rPr/>
      </w:pPr>
      <w:r>
        <w:rPr>
          <w:rFonts w:cs="Calibri" w:ascii="Times New Roman" w:hAnsi="Times New Roman" w:cstheme="minorHAnsi"/>
        </w:rPr>
        <w:t xml:space="preserve">  </w:t>
      </w: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rPr/>
      </w:pPr>
      <w:hyperlink r:id="rId8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https://www.paragraf.rs/propisi/zakon_o_porezima_na_imovinu.html</w:t>
        </w:r>
      </w:hyperlink>
    </w:p>
    <w:p>
      <w:pPr>
        <w:pStyle w:val="Normal"/>
        <w:spacing w:lineRule="auto" w:line="240" w:before="0" w:after="240"/>
        <w:ind w:hanging="0"/>
        <w:rPr>
          <w:rFonts w:cs="Calibri" w:cstheme="minorHAnsi"/>
          <w:color w:val="5983B0"/>
          <w:lang w:val="sr-RS"/>
        </w:rPr>
      </w:pPr>
      <w:hyperlink r:id="rId9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https://www.paragraf.rs/propisi/zakon_o_poreskom_postupku_i_poreskoj_administraciji.html</w:t>
        </w:r>
      </w:hyperlink>
    </w:p>
    <w:p>
      <w:pPr>
        <w:pStyle w:val="Normal"/>
        <w:spacing w:lineRule="auto" w:line="240" w:before="0" w:after="240"/>
        <w:ind w:hanging="0"/>
        <w:rPr>
          <w:rFonts w:cs="Calibri" w:cstheme="minorHAnsi"/>
          <w:color w:val="729FCF"/>
        </w:rPr>
      </w:pPr>
      <w:hyperlink r:id="rId10">
        <w:r>
          <w:rPr>
            <w:rStyle w:val="InternetLink"/>
            <w:rFonts w:cs="Calibri" w:cstheme="minorHAnsi"/>
            <w:color w:val="729FCF"/>
          </w:rPr>
          <w:t>https://www.paragraf.rs/propisi/zakon-o-naknadama-za-koriscenje-javnih-dobara.html</w:t>
        </w:r>
      </w:hyperlink>
    </w:p>
    <w:p>
      <w:pPr>
        <w:pStyle w:val="Normal"/>
        <w:spacing w:lineRule="auto" w:line="240" w:before="0" w:after="240"/>
        <w:ind w:hanging="0"/>
        <w:rPr/>
      </w:pPr>
      <w:hyperlink r:id="rId11">
        <w:r>
          <w:rPr>
            <w:rStyle w:val="InternetLink"/>
            <w:rFonts w:cs="Calibri" w:cstheme="minorHAnsi"/>
            <w:color w:val="729FCF"/>
            <w:lang w:val="sr-RS"/>
          </w:rPr>
          <w:t>https://www.paragraf.rs/propisi/uredba-o-kriterijumima-za-odredjivanje-aktivnosti-koje-uticu-na-zivotnu-sredinu-prema-kolicini-zagadjenja.html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729FCF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Cy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digitalna-pismenost-1" TargetMode="External"/><Relationship Id="rId4" Type="http://schemas.openxmlformats.org/officeDocument/2006/relationships/hyperlink" Target="https://kutak.suk.gov.rs/kutak-znanja/poslovna-komunikacija-za-ap-i-jls" TargetMode="External"/><Relationship Id="rId5" Type="http://schemas.openxmlformats.org/officeDocument/2006/relationships/hyperlink" Target="https://kutak.suk.gov.rs/kutak-znanja/simulacije-zadataka-apjls/strucno-operativni-poslovi-2/pripremi-se" TargetMode="External"/><Relationship Id="rId6" Type="http://schemas.openxmlformats.org/officeDocument/2006/relationships/hyperlink" Target="https://kutak.suk.gov.rs/kutak-znanja/simulacije-zadataka-apjls/upravno-pravni-poslovi-2/pripremi-se" TargetMode="External"/><Relationship Id="rId7" Type="http://schemas.openxmlformats.org/officeDocument/2006/relationships/hyperlink" Target="https://pirot.rs/index.php/dokumenta/statut-opstine-pirot-2" TargetMode="External"/><Relationship Id="rId8" Type="http://schemas.openxmlformats.org/officeDocument/2006/relationships/hyperlink" Target="https://www.paragraf.rs/propisi/zakon_o_porezima_na_imovinu.html" TargetMode="External"/><Relationship Id="rId9" Type="http://schemas.openxmlformats.org/officeDocument/2006/relationships/hyperlink" Target="https://www.paragraf.rs/propisi/zakon_o_poreskom_postupku_i_poreskoj_administraciji.html" TargetMode="External"/><Relationship Id="rId10" Type="http://schemas.openxmlformats.org/officeDocument/2006/relationships/hyperlink" Target="https://www.paragraf.rs/propisi/zakon-o-naknadama-za-koriscenje-javnih-dobara.html" TargetMode="External"/><Relationship Id="rId11" Type="http://schemas.openxmlformats.org/officeDocument/2006/relationships/hyperlink" Target="https://www.paragraf.rs/propisi/uredba-o-kriterijumima-za-odredjivanje-aktivnosti-koje-uticu-na-zivotnu-sredinu-prema-kolicini-zagadjenja.html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LibreOffice/7.3.2.2$Windows_X86_64 LibreOffice_project/49f2b1bff42cfccbd8f788c8dc32c1c309559be0</Application>
  <AppVersion>15.0000</AppVersion>
  <Pages>2</Pages>
  <Words>131</Words>
  <Characters>1618</Characters>
  <CharactersWithSpaces>1790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2026-02-25T10:41:23Z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